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67D0" w14:textId="434AC5D3" w:rsidR="00B907F9" w:rsidRPr="00C17931" w:rsidRDefault="002276EB" w:rsidP="002276EB">
      <w:pPr>
        <w:jc w:val="center"/>
        <w:rPr>
          <w:b/>
          <w:bCs/>
          <w:u w:val="single"/>
        </w:rPr>
      </w:pPr>
      <w:r w:rsidRPr="00C17931">
        <w:rPr>
          <w:b/>
          <w:bCs/>
          <w:u w:val="single"/>
        </w:rPr>
        <w:t>Operation Christmas Child Shoebox Suggestions</w:t>
      </w:r>
    </w:p>
    <w:p w14:paraId="2693F5B6" w14:textId="15461A97" w:rsidR="002276EB" w:rsidRDefault="002276EB" w:rsidP="002276EB">
      <w:pPr>
        <w:jc w:val="center"/>
      </w:pPr>
    </w:p>
    <w:tbl>
      <w:tblPr>
        <w:tblStyle w:val="TableGrid"/>
        <w:tblW w:w="10795" w:type="dxa"/>
        <w:tblLook w:val="04A0" w:firstRow="1" w:lastRow="0" w:firstColumn="1" w:lastColumn="0" w:noHBand="0" w:noVBand="1"/>
      </w:tblPr>
      <w:tblGrid>
        <w:gridCol w:w="5485"/>
        <w:gridCol w:w="5310"/>
      </w:tblGrid>
      <w:tr w:rsidR="002276EB" w14:paraId="7EFB8A37" w14:textId="77777777" w:rsidTr="00C91B5D">
        <w:tc>
          <w:tcPr>
            <w:tcW w:w="5485" w:type="dxa"/>
          </w:tcPr>
          <w:p w14:paraId="25B23DF3" w14:textId="4E2F18FB" w:rsidR="002276EB" w:rsidRDefault="002276EB" w:rsidP="002276EB">
            <w:pPr>
              <w:jc w:val="center"/>
            </w:pPr>
            <w:r>
              <w:t xml:space="preserve">Girls: </w:t>
            </w:r>
            <w:r w:rsidR="002E4B70">
              <w:t xml:space="preserve">Ages </w:t>
            </w:r>
            <w:r>
              <w:t>2-4</w:t>
            </w:r>
          </w:p>
        </w:tc>
        <w:tc>
          <w:tcPr>
            <w:tcW w:w="5310" w:type="dxa"/>
          </w:tcPr>
          <w:p w14:paraId="41FF6CBE" w14:textId="43A0D0A1" w:rsidR="002276EB" w:rsidRDefault="00C17931" w:rsidP="002276EB">
            <w:pPr>
              <w:jc w:val="center"/>
            </w:pPr>
            <w:r>
              <w:t>Boys: Ages 2-4</w:t>
            </w:r>
          </w:p>
        </w:tc>
      </w:tr>
      <w:tr w:rsidR="002276EB" w14:paraId="285F4159" w14:textId="77777777" w:rsidTr="00C91B5D">
        <w:tc>
          <w:tcPr>
            <w:tcW w:w="5485" w:type="dxa"/>
          </w:tcPr>
          <w:p w14:paraId="12F24DFA" w14:textId="0000ED99" w:rsidR="002276EB" w:rsidRDefault="002276EB" w:rsidP="002E4B70">
            <w:r>
              <w:t>Doll</w:t>
            </w:r>
            <w:r>
              <w:t xml:space="preserve">, </w:t>
            </w:r>
            <w:r>
              <w:t>Stuffed animal</w:t>
            </w:r>
            <w:r>
              <w:t>,</w:t>
            </w:r>
            <w:r w:rsidR="002E4B70">
              <w:t xml:space="preserve"> </w:t>
            </w:r>
            <w:r>
              <w:t>A</w:t>
            </w:r>
            <w:r>
              <w:t xml:space="preserve"> clothing </w:t>
            </w:r>
            <w:r>
              <w:t xml:space="preserve">outfit, </w:t>
            </w:r>
            <w:r>
              <w:t>Small musical instrument (such as a harmonica or woodwind recorder)</w:t>
            </w:r>
            <w:r>
              <w:t>,</w:t>
            </w:r>
            <w:r w:rsidR="00C91B5D">
              <w:t xml:space="preserve"> </w:t>
            </w:r>
            <w:r>
              <w:t>Comb</w:t>
            </w:r>
            <w:r>
              <w:t xml:space="preserve">, </w:t>
            </w:r>
            <w:r>
              <w:t>Hairbrush</w:t>
            </w:r>
            <w:r>
              <w:t xml:space="preserve">, </w:t>
            </w:r>
            <w:r>
              <w:t>Toothbrush</w:t>
            </w:r>
            <w:r>
              <w:t xml:space="preserve">, </w:t>
            </w:r>
            <w:r>
              <w:t>Washcloth</w:t>
            </w:r>
            <w:r>
              <w:t>,</w:t>
            </w:r>
            <w:r w:rsidR="002E4B70">
              <w:t xml:space="preserve"> </w:t>
            </w:r>
            <w:r>
              <w:t>Adhesive bandages</w:t>
            </w:r>
            <w:r w:rsidR="00173E94">
              <w:t xml:space="preserve"> (</w:t>
            </w:r>
            <w:r>
              <w:t>Colorful ones can help a child be more willing to wear a bandage. Do not include liquid antibiotic ointment)</w:t>
            </w:r>
            <w:r w:rsidR="00173E94">
              <w:t xml:space="preserve">, </w:t>
            </w:r>
            <w:r>
              <w:t>Reusable plastic containers: cup, water bottle, plate, bowl, blunt-edged utensils</w:t>
            </w:r>
            <w:r w:rsidR="002E4B70">
              <w:t xml:space="preserve"> </w:t>
            </w:r>
            <w:r>
              <w:t>(Consider filling an empty container with non-liquid items such as hair bows, bracelets, sunglasses, or washcloths to maximize the space.)</w:t>
            </w:r>
            <w:r w:rsidR="00173E94">
              <w:t xml:space="preserve">, </w:t>
            </w:r>
            <w:r>
              <w:t>Blanket</w:t>
            </w:r>
            <w:r w:rsidR="00173E94">
              <w:t xml:space="preserve">, </w:t>
            </w:r>
            <w:r w:rsidR="00173E94">
              <w:t>Shirts and pants</w:t>
            </w:r>
            <w:r w:rsidR="00173E94">
              <w:t>, S</w:t>
            </w:r>
            <w:r w:rsidR="00173E94">
              <w:t>undress</w:t>
            </w:r>
            <w:r w:rsidR="00173E94">
              <w:t>,</w:t>
            </w:r>
            <w:r w:rsidR="002E4B70">
              <w:t xml:space="preserve"> </w:t>
            </w:r>
            <w:r w:rsidR="00173E94">
              <w:t>Underwear</w:t>
            </w:r>
            <w:r w:rsidR="00173E94">
              <w:t xml:space="preserve">, </w:t>
            </w:r>
            <w:r w:rsidR="00173E94">
              <w:t>Shoes and socks</w:t>
            </w:r>
            <w:r w:rsidR="00173E94">
              <w:t xml:space="preserve">, </w:t>
            </w:r>
            <w:r w:rsidR="00173E94">
              <w:t>Flip-flops</w:t>
            </w:r>
            <w:r w:rsidR="00173E94">
              <w:t xml:space="preserve">, </w:t>
            </w:r>
            <w:r w:rsidR="00C91B5D">
              <w:t>Tote bag/purse,</w:t>
            </w:r>
            <w:r w:rsidR="00C91B5D">
              <w:t xml:space="preserve"> </w:t>
            </w:r>
            <w:r w:rsidR="00173E94">
              <w:t>Hat/scarf/mittens</w:t>
            </w:r>
            <w:r w:rsidR="00173E94">
              <w:t xml:space="preserve">, </w:t>
            </w:r>
            <w:r w:rsidR="00173E94">
              <w:t>Sunglasses</w:t>
            </w:r>
            <w:r w:rsidR="00173E94">
              <w:t xml:space="preserve">, </w:t>
            </w:r>
            <w:r w:rsidR="00173E94">
              <w:t>Hair bows</w:t>
            </w:r>
            <w:r w:rsidR="00173E94">
              <w:t xml:space="preserve">, </w:t>
            </w:r>
            <w:r w:rsidR="00173E94">
              <w:t>Pencils</w:t>
            </w:r>
            <w:r w:rsidR="00173E94">
              <w:t xml:space="preserve">, </w:t>
            </w:r>
            <w:r w:rsidR="00173E94">
              <w:t>Small manual pencil sharpener</w:t>
            </w:r>
            <w:r w:rsidR="00173E94">
              <w:t xml:space="preserve">, </w:t>
            </w:r>
            <w:r w:rsidR="00173E94">
              <w:t>Colored pencils</w:t>
            </w:r>
            <w:r w:rsidR="00173E94">
              <w:t xml:space="preserve">, </w:t>
            </w:r>
            <w:r w:rsidR="00173E94">
              <w:t>Pencil case</w:t>
            </w:r>
            <w:r w:rsidR="00173E94">
              <w:t xml:space="preserve">, </w:t>
            </w:r>
            <w:r w:rsidR="00173E94">
              <w:t>Crayons</w:t>
            </w:r>
            <w:r w:rsidR="00173E94">
              <w:t xml:space="preserve">, </w:t>
            </w:r>
            <w:r w:rsidR="00173E94">
              <w:t>Markers</w:t>
            </w:r>
            <w:r w:rsidR="00173E94">
              <w:t xml:space="preserve">, </w:t>
            </w:r>
            <w:r w:rsidR="00173E94">
              <w:t>Pens</w:t>
            </w:r>
            <w:r w:rsidR="00173E94">
              <w:t xml:space="preserve">, </w:t>
            </w:r>
            <w:r w:rsidR="00173E94">
              <w:t>Coloring books</w:t>
            </w:r>
            <w:r w:rsidR="00173E94">
              <w:t>,</w:t>
            </w:r>
            <w:r w:rsidR="00C91B5D">
              <w:t xml:space="preserve"> </w:t>
            </w:r>
            <w:r w:rsidR="00173E94">
              <w:t>Picture book</w:t>
            </w:r>
            <w:r w:rsidR="00173E94">
              <w:t xml:space="preserve">, </w:t>
            </w:r>
            <w:r w:rsidR="00173E94">
              <w:t>Notebooks</w:t>
            </w:r>
            <w:r w:rsidR="00173E94">
              <w:t xml:space="preserve">, </w:t>
            </w:r>
            <w:r w:rsidR="00173E94">
              <w:t>Glue stick (Do not include liquid glue)</w:t>
            </w:r>
            <w:r w:rsidR="00173E94">
              <w:t xml:space="preserve">, </w:t>
            </w:r>
            <w:r w:rsidR="00173E94">
              <w:t>Small adhesive tape</w:t>
            </w:r>
            <w:r w:rsidR="00173E94">
              <w:t>,</w:t>
            </w:r>
            <w:r w:rsidR="00C91B5D">
              <w:t xml:space="preserve"> </w:t>
            </w:r>
            <w:r w:rsidR="00173E94">
              <w:t>Watercolor set</w:t>
            </w:r>
            <w:r w:rsidR="00173E94">
              <w:t xml:space="preserve">, </w:t>
            </w:r>
            <w:r w:rsidR="00173E94">
              <w:t>Stickers</w:t>
            </w:r>
            <w:r w:rsidR="002E4B70">
              <w:t xml:space="preserve">, </w:t>
            </w:r>
            <w:r w:rsidR="00173E94">
              <w:t>Jump rope</w:t>
            </w:r>
            <w:r w:rsidR="002E4B70">
              <w:t>,</w:t>
            </w:r>
            <w:r w:rsidR="00C91B5D">
              <w:t xml:space="preserve"> F</w:t>
            </w:r>
            <w:r w:rsidR="002E4B70">
              <w:t>oam ball</w:t>
            </w:r>
            <w:r w:rsidR="002E4B70">
              <w:t xml:space="preserve">, </w:t>
            </w:r>
            <w:r w:rsidR="00ED25F4">
              <w:t xml:space="preserve">Small </w:t>
            </w:r>
            <w:r w:rsidR="002E4B70">
              <w:t>Kite</w:t>
            </w:r>
            <w:r w:rsidR="002E4B70">
              <w:t xml:space="preserve">, </w:t>
            </w:r>
            <w:r w:rsidR="002E4B70">
              <w:t>Finger puppets</w:t>
            </w:r>
            <w:r w:rsidR="002E4B70">
              <w:t xml:space="preserve">, </w:t>
            </w:r>
            <w:r w:rsidR="002E4B70">
              <w:t>Slinky</w:t>
            </w:r>
            <w:r w:rsidR="002E4B70">
              <w:t xml:space="preserve">, </w:t>
            </w:r>
            <w:r w:rsidR="002E4B70">
              <w:t>Etch A Sket</w:t>
            </w:r>
            <w:r w:rsidR="00C91B5D">
              <w:t>ch</w:t>
            </w:r>
            <w:r w:rsidR="00510FA3">
              <w:t xml:space="preserve">, </w:t>
            </w:r>
            <w:r w:rsidR="00510FA3">
              <w:t>Building Blocks</w:t>
            </w:r>
          </w:p>
        </w:tc>
        <w:tc>
          <w:tcPr>
            <w:tcW w:w="5310" w:type="dxa"/>
          </w:tcPr>
          <w:p w14:paraId="74A63C2B" w14:textId="6AE41C56" w:rsidR="002276EB" w:rsidRDefault="00ED25F4" w:rsidP="00510FA3">
            <w:r>
              <w:t>Stuffed animal</w:t>
            </w:r>
            <w:r>
              <w:t xml:space="preserve">, </w:t>
            </w:r>
            <w:r>
              <w:t>A</w:t>
            </w:r>
            <w:r>
              <w:t xml:space="preserve"> clothing</w:t>
            </w:r>
            <w:r>
              <w:t xml:space="preserve"> outfit</w:t>
            </w:r>
            <w:r>
              <w:t xml:space="preserve">, </w:t>
            </w:r>
            <w:r>
              <w:t>Small musical instrument (such as a harmonica or woodwind recorder)</w:t>
            </w:r>
            <w:r>
              <w:t>,</w:t>
            </w:r>
            <w:r w:rsidR="00510FA3">
              <w:t xml:space="preserve"> </w:t>
            </w:r>
            <w:r w:rsidR="00510FA3">
              <w:t>Comb, Hairbrush, Toothbrush, Washcloth, Adhesive bandages (Colorful ones can help a child be more willing to wear a bandage. Do not include liquid antibiotic ointment), Reusable plastic containers: cup, water bottle, plate, bowl, blunt-edged utensils (Consider filling an empty container with non-liquid items such as sunglasses, or washcloths to maximize the space.), Blanket, Shirts and pants, Underwear, Shoes and socks, Flip-flops,</w:t>
            </w:r>
            <w:r w:rsidR="00510FA3">
              <w:t xml:space="preserve"> </w:t>
            </w:r>
            <w:r w:rsidR="00510FA3">
              <w:t>Hat/scarf/mittens, Sunglasses, Pencils, Small manual pencil sharpener, Colored pencils, Pencil case, Crayons, Markers, Pens, Coloring books, Picture book, Notebooks, Glue stick (Do not include liquid glue), Small adhesive tape, Watercolor set, Stickers, Jump rope, Foam ball, Small Kite, Finger puppets, Slinky, Etch A Sketch</w:t>
            </w:r>
            <w:r w:rsidR="00510FA3">
              <w:t xml:space="preserve">, Building Blocks, </w:t>
            </w:r>
            <w:r w:rsidR="00510FA3">
              <w:t>Play cars/trucks/boats</w:t>
            </w:r>
            <w:r w:rsidR="00510FA3">
              <w:t xml:space="preserve">, </w:t>
            </w:r>
            <w:r w:rsidR="00510FA3">
              <w:t>Plastic tools</w:t>
            </w:r>
            <w:r w:rsidR="00510FA3">
              <w:t xml:space="preserve">, </w:t>
            </w:r>
            <w:r w:rsidR="00510FA3">
              <w:t>Plastic dinosaurs</w:t>
            </w:r>
          </w:p>
        </w:tc>
      </w:tr>
    </w:tbl>
    <w:p w14:paraId="3C58839C" w14:textId="77777777" w:rsidR="002E4B70" w:rsidRPr="00C17931" w:rsidRDefault="002E4B70">
      <w:pPr>
        <w:rPr>
          <w:sz w:val="28"/>
          <w:szCs w:val="28"/>
        </w:rPr>
      </w:pPr>
    </w:p>
    <w:tbl>
      <w:tblPr>
        <w:tblStyle w:val="TableGrid"/>
        <w:tblW w:w="10795" w:type="dxa"/>
        <w:tblLook w:val="04A0" w:firstRow="1" w:lastRow="0" w:firstColumn="1" w:lastColumn="0" w:noHBand="0" w:noVBand="1"/>
      </w:tblPr>
      <w:tblGrid>
        <w:gridCol w:w="5485"/>
        <w:gridCol w:w="5310"/>
      </w:tblGrid>
      <w:tr w:rsidR="002276EB" w14:paraId="58CED608" w14:textId="77777777" w:rsidTr="00C91B5D">
        <w:tc>
          <w:tcPr>
            <w:tcW w:w="5485" w:type="dxa"/>
          </w:tcPr>
          <w:p w14:paraId="695AB365" w14:textId="7976DD13" w:rsidR="002276EB" w:rsidRDefault="002E4B70" w:rsidP="002E4B70">
            <w:pPr>
              <w:jc w:val="center"/>
            </w:pPr>
            <w:r>
              <w:t>Girls: Ages 5-9</w:t>
            </w:r>
          </w:p>
        </w:tc>
        <w:tc>
          <w:tcPr>
            <w:tcW w:w="5310" w:type="dxa"/>
          </w:tcPr>
          <w:p w14:paraId="57A10F25" w14:textId="5E5CB284" w:rsidR="002276EB" w:rsidRDefault="00510FA3" w:rsidP="002276EB">
            <w:pPr>
              <w:jc w:val="center"/>
            </w:pPr>
            <w:r>
              <w:t>Boys: Ages 5-9</w:t>
            </w:r>
          </w:p>
        </w:tc>
      </w:tr>
      <w:tr w:rsidR="002276EB" w14:paraId="6B964EEC" w14:textId="77777777" w:rsidTr="00C91B5D">
        <w:tc>
          <w:tcPr>
            <w:tcW w:w="5485" w:type="dxa"/>
          </w:tcPr>
          <w:p w14:paraId="13385604" w14:textId="4BB3682F" w:rsidR="00ED25F4" w:rsidRDefault="00C91B5D" w:rsidP="00ED25F4">
            <w:r>
              <w:t xml:space="preserve">Same as above.  Additional suggestions: Backpack, Lip Balm, Solar Powered Calculator, </w:t>
            </w:r>
            <w:r>
              <w:t>Scissors</w:t>
            </w:r>
            <w:r>
              <w:t xml:space="preserve">, </w:t>
            </w:r>
            <w:r>
              <w:t>Ruler</w:t>
            </w:r>
            <w:r>
              <w:t xml:space="preserve">, Index Cards, </w:t>
            </w:r>
            <w:r>
              <w:t>Protractor</w:t>
            </w:r>
            <w:r w:rsidR="00ED25F4">
              <w:t xml:space="preserve">, Puzzles, </w:t>
            </w:r>
            <w:r w:rsidR="00ED25F4">
              <w:t>Costume items to play dress-up, such as crowns and costume jewelry</w:t>
            </w:r>
            <w:r w:rsidR="00ED25F4">
              <w:t>,</w:t>
            </w:r>
          </w:p>
          <w:p w14:paraId="11F5D7B6" w14:textId="21BF0484" w:rsidR="002276EB" w:rsidRDefault="00ED25F4" w:rsidP="00ED25F4">
            <w:r>
              <w:t>Plastic toys and toy figures</w:t>
            </w:r>
            <w:r>
              <w:t xml:space="preserve">, </w:t>
            </w:r>
            <w:r>
              <w:t>Yo-yo</w:t>
            </w:r>
            <w:r>
              <w:t xml:space="preserve">, </w:t>
            </w:r>
            <w:r>
              <w:t>Small Frisbee</w:t>
            </w:r>
          </w:p>
        </w:tc>
        <w:tc>
          <w:tcPr>
            <w:tcW w:w="5310" w:type="dxa"/>
          </w:tcPr>
          <w:p w14:paraId="751BE48C" w14:textId="77777777" w:rsidR="002276EB" w:rsidRDefault="00510FA3" w:rsidP="00510FA3">
            <w:r>
              <w:t>Same as above.  Additional suggestions:</w:t>
            </w:r>
            <w:r>
              <w:t xml:space="preserve"> Backpack,</w:t>
            </w:r>
          </w:p>
          <w:p w14:paraId="1F611CB0" w14:textId="44FCB17B" w:rsidR="00510FA3" w:rsidRDefault="00510FA3" w:rsidP="00926A90">
            <w:r w:rsidRPr="00510FA3">
              <w:t>Toy truck or boat</w:t>
            </w:r>
            <w:r>
              <w:t xml:space="preserve">, </w:t>
            </w:r>
            <w:r w:rsidR="00926A90">
              <w:t>Lip Balm, Solar Powered Calculator, Scissors, Ruler, Index Cards, Protractor, Puzzles, Plastic toys and toy figures, Yo-yo, Small Frisbee</w:t>
            </w:r>
            <w:r w:rsidR="00C17931">
              <w:t xml:space="preserve">, </w:t>
            </w:r>
            <w:r w:rsidR="00C17931" w:rsidRPr="00C17931">
              <w:t>Hacky sack</w:t>
            </w:r>
          </w:p>
        </w:tc>
      </w:tr>
    </w:tbl>
    <w:p w14:paraId="4CEB40B3" w14:textId="77777777" w:rsidR="00ED25F4" w:rsidRPr="00C17931" w:rsidRDefault="00ED25F4">
      <w:pPr>
        <w:rPr>
          <w:sz w:val="28"/>
          <w:szCs w:val="28"/>
        </w:rPr>
      </w:pPr>
    </w:p>
    <w:tbl>
      <w:tblPr>
        <w:tblStyle w:val="TableGrid"/>
        <w:tblW w:w="10795" w:type="dxa"/>
        <w:tblLook w:val="04A0" w:firstRow="1" w:lastRow="0" w:firstColumn="1" w:lastColumn="0" w:noHBand="0" w:noVBand="1"/>
      </w:tblPr>
      <w:tblGrid>
        <w:gridCol w:w="5485"/>
        <w:gridCol w:w="5310"/>
      </w:tblGrid>
      <w:tr w:rsidR="002276EB" w14:paraId="38BD0284" w14:textId="77777777" w:rsidTr="00C91B5D">
        <w:tc>
          <w:tcPr>
            <w:tcW w:w="5485" w:type="dxa"/>
          </w:tcPr>
          <w:p w14:paraId="005E9C6A" w14:textId="35F991F9" w:rsidR="002276EB" w:rsidRDefault="00ED25F4" w:rsidP="002276EB">
            <w:pPr>
              <w:jc w:val="center"/>
            </w:pPr>
            <w:r>
              <w:t>Girls: Ages 10-14</w:t>
            </w:r>
          </w:p>
        </w:tc>
        <w:tc>
          <w:tcPr>
            <w:tcW w:w="5310" w:type="dxa"/>
          </w:tcPr>
          <w:p w14:paraId="48A3388B" w14:textId="381784E2" w:rsidR="002276EB" w:rsidRDefault="00510FA3" w:rsidP="002276EB">
            <w:pPr>
              <w:jc w:val="center"/>
            </w:pPr>
            <w:r>
              <w:t>Boys: Ages 10-14</w:t>
            </w:r>
          </w:p>
        </w:tc>
      </w:tr>
      <w:tr w:rsidR="002276EB" w14:paraId="6C4EFBF2" w14:textId="77777777" w:rsidTr="00C91B5D">
        <w:tc>
          <w:tcPr>
            <w:tcW w:w="5485" w:type="dxa"/>
          </w:tcPr>
          <w:p w14:paraId="4548CFB9" w14:textId="77777777" w:rsidR="00510FA3" w:rsidRDefault="00ED25F4" w:rsidP="00ED25F4">
            <w:r>
              <w:t xml:space="preserve">Same as above.  Additional suggestions: </w:t>
            </w:r>
          </w:p>
          <w:p w14:paraId="02D9D774" w14:textId="3EA7C54C" w:rsidR="00ED25F4" w:rsidRDefault="00ED25F4" w:rsidP="00ED25F4">
            <w:r>
              <w:t>Compact mirror</w:t>
            </w:r>
            <w:r>
              <w:t xml:space="preserve">, </w:t>
            </w:r>
            <w:r>
              <w:t>Nail clipper and file</w:t>
            </w:r>
            <w:r>
              <w:t xml:space="preserve">, </w:t>
            </w:r>
            <w:r>
              <w:t>Stick deodorant</w:t>
            </w:r>
            <w:r>
              <w:t>,</w:t>
            </w:r>
          </w:p>
          <w:p w14:paraId="461657E5" w14:textId="7A2B38DB" w:rsidR="002276EB" w:rsidRDefault="00ED25F4" w:rsidP="00ED25F4">
            <w:r>
              <w:t>Washable/reusable cloth menstrual pads</w:t>
            </w:r>
          </w:p>
        </w:tc>
        <w:tc>
          <w:tcPr>
            <w:tcW w:w="5310" w:type="dxa"/>
          </w:tcPr>
          <w:p w14:paraId="6236D324" w14:textId="52C5244C" w:rsidR="002276EB" w:rsidRDefault="00510FA3" w:rsidP="00C17931">
            <w:r>
              <w:t>Same as above.  Additional suggestions:</w:t>
            </w:r>
            <w:r w:rsidR="00C17931">
              <w:t xml:space="preserve"> </w:t>
            </w:r>
            <w:r w:rsidR="00C17931">
              <w:t>Nail clipper and file</w:t>
            </w:r>
            <w:r w:rsidR="00C17931">
              <w:t xml:space="preserve">, </w:t>
            </w:r>
            <w:proofErr w:type="gramStart"/>
            <w:r w:rsidR="00C17931">
              <w:t>Stick</w:t>
            </w:r>
            <w:proofErr w:type="gramEnd"/>
            <w:r w:rsidR="00C17931">
              <w:t xml:space="preserve"> deodorant</w:t>
            </w:r>
            <w:r w:rsidR="00C17931">
              <w:t>, marbles, Playing cards</w:t>
            </w:r>
          </w:p>
        </w:tc>
      </w:tr>
    </w:tbl>
    <w:p w14:paraId="3D76D3AB" w14:textId="3CD01017" w:rsidR="002276EB" w:rsidRPr="00E974C3" w:rsidRDefault="002276EB" w:rsidP="002276EB">
      <w:pPr>
        <w:jc w:val="center"/>
        <w:rPr>
          <w:sz w:val="16"/>
          <w:szCs w:val="16"/>
        </w:rPr>
      </w:pPr>
    </w:p>
    <w:p w14:paraId="7D2722D4" w14:textId="77777777" w:rsidR="00E974C3" w:rsidRDefault="00E974C3" w:rsidP="00C17931">
      <w:pPr>
        <w:jc w:val="center"/>
      </w:pPr>
      <w:r>
        <w:rPr>
          <w:noProof/>
        </w:rPr>
        <w:drawing>
          <wp:inline distT="0" distB="0" distL="0" distR="0" wp14:anchorId="7B6DD0DB" wp14:editId="73C5E6CA">
            <wp:extent cx="203200" cy="203200"/>
            <wp:effectExtent l="0" t="0" r="0" b="0"/>
            <wp:docPr id="2" name="Graphic 2" descr="Smiling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miling face outline with solid fi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17374" cy="217374"/>
                    </a:xfrm>
                    <a:prstGeom prst="rect">
                      <a:avLst/>
                    </a:prstGeom>
                  </pic:spPr>
                </pic:pic>
              </a:graphicData>
            </a:graphic>
          </wp:inline>
        </w:drawing>
      </w:r>
    </w:p>
    <w:p w14:paraId="5F70779C" w14:textId="0A33B804" w:rsidR="00C17931" w:rsidRDefault="00C17931" w:rsidP="00C17931">
      <w:pPr>
        <w:jc w:val="center"/>
      </w:pPr>
      <w:r>
        <w:t>You may enclose a note to the child and a photo of yourself, your family, or group. If you include your name and an address, the child may be able to write back.</w:t>
      </w:r>
    </w:p>
    <w:p w14:paraId="15062929" w14:textId="42FA09AA" w:rsidR="00C17931" w:rsidRPr="00C17931" w:rsidRDefault="00C17931" w:rsidP="00E974C3">
      <w:pPr>
        <w:rPr>
          <w:sz w:val="20"/>
          <w:szCs w:val="20"/>
        </w:rPr>
      </w:pPr>
      <w:r w:rsidRPr="00C17931">
        <w:rPr>
          <w:sz w:val="20"/>
          <w:szCs w:val="20"/>
        </w:rPr>
        <w:t>*Samaritan’s Purse encourages Operation Christmas Child shoebox donors to include a personal note in each shoebox gift to encourage the recipient child in their relationship with Jesus Christ. Some donors also include photos and addresses. Occasionally, pen-pal relationships have developed over the years between shoebox packers and the recipient.</w:t>
      </w:r>
      <w:r w:rsidR="00E974C3">
        <w:rPr>
          <w:sz w:val="20"/>
          <w:szCs w:val="20"/>
        </w:rPr>
        <w:t xml:space="preserve">     -----      </w:t>
      </w:r>
      <w:r w:rsidRPr="00C17931">
        <w:rPr>
          <w:sz w:val="20"/>
          <w:szCs w:val="20"/>
        </w:rPr>
        <w:t>Samaritan’s Purse encourages donors who include their mailing address to be cautious of correspondence from shoebox recipient countries, especially letters written to children. Correspondence from a stranger should be treated with caution and awareness. Samaritan’s Purse does not encourage shoebox recipients or ministry partner churches around the world to solicit support from our donors.</w:t>
      </w:r>
    </w:p>
    <w:p w14:paraId="657D1062" w14:textId="77777777" w:rsidR="00C17931" w:rsidRPr="00C17931" w:rsidRDefault="00C17931" w:rsidP="002276EB">
      <w:pPr>
        <w:jc w:val="center"/>
        <w:rPr>
          <w:sz w:val="20"/>
          <w:szCs w:val="20"/>
        </w:rPr>
      </w:pPr>
    </w:p>
    <w:p w14:paraId="1F444304" w14:textId="350B55C4" w:rsidR="00C17931" w:rsidRPr="00C17931" w:rsidRDefault="00C17931" w:rsidP="00C17931">
      <w:pPr>
        <w:spacing w:before="150" w:after="150"/>
        <w:jc w:val="center"/>
        <w:outlineLvl w:val="1"/>
        <w:rPr>
          <w:rFonts w:eastAsia="Times New Roman" w:cstheme="minorHAnsi"/>
          <w:color w:val="555555"/>
          <w:spacing w:val="2"/>
        </w:rPr>
      </w:pPr>
      <w:r w:rsidRPr="00C17931">
        <w:rPr>
          <w:rFonts w:ascii="Roboto" w:eastAsia="Times New Roman" w:hAnsi="Roboto" w:cs="Times New Roman"/>
          <w:color w:val="555555"/>
          <w:spacing w:val="2"/>
          <w:sz w:val="45"/>
          <w:szCs w:val="45"/>
        </w:rPr>
        <w:fldChar w:fldCharType="begin"/>
      </w:r>
      <w:r w:rsidRPr="00C17931">
        <w:rPr>
          <w:rFonts w:ascii="Roboto" w:eastAsia="Times New Roman" w:hAnsi="Roboto" w:cs="Times New Roman"/>
          <w:color w:val="555555"/>
          <w:spacing w:val="2"/>
          <w:sz w:val="45"/>
          <w:szCs w:val="45"/>
        </w:rPr>
        <w:instrText xml:space="preserve"> INCLUDEPICTURE "https://s3.amazonaws.com/static.samaritanspurse.org/occ/images/2017-how-to-pack/do-not-include2.png" \* MERGEFORMATINET </w:instrText>
      </w:r>
      <w:r w:rsidRPr="00C17931">
        <w:rPr>
          <w:rFonts w:ascii="Roboto" w:eastAsia="Times New Roman" w:hAnsi="Roboto" w:cs="Times New Roman"/>
          <w:color w:val="555555"/>
          <w:spacing w:val="2"/>
          <w:sz w:val="45"/>
          <w:szCs w:val="45"/>
        </w:rPr>
        <w:fldChar w:fldCharType="separate"/>
      </w:r>
      <w:r w:rsidRPr="00C17931">
        <w:rPr>
          <w:rFonts w:ascii="Roboto" w:eastAsia="Times New Roman" w:hAnsi="Roboto" w:cs="Times New Roman"/>
          <w:noProof/>
          <w:color w:val="555555"/>
          <w:spacing w:val="2"/>
          <w:sz w:val="45"/>
          <w:szCs w:val="45"/>
        </w:rPr>
        <w:drawing>
          <wp:inline distT="0" distB="0" distL="0" distR="0" wp14:anchorId="0EE617A6" wp14:editId="001B9281">
            <wp:extent cx="245534" cy="245534"/>
            <wp:effectExtent l="0" t="0" r="0" b="0"/>
            <wp:docPr id="1" name="Picture 1" descr="do not incl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not inclu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338" cy="258338"/>
                    </a:xfrm>
                    <a:prstGeom prst="rect">
                      <a:avLst/>
                    </a:prstGeom>
                    <a:noFill/>
                    <a:ln>
                      <a:noFill/>
                    </a:ln>
                  </pic:spPr>
                </pic:pic>
              </a:graphicData>
            </a:graphic>
          </wp:inline>
        </w:drawing>
      </w:r>
      <w:r w:rsidRPr="00C17931">
        <w:rPr>
          <w:rFonts w:ascii="Roboto" w:eastAsia="Times New Roman" w:hAnsi="Roboto" w:cs="Times New Roman"/>
          <w:color w:val="555555"/>
          <w:spacing w:val="2"/>
          <w:sz w:val="45"/>
          <w:szCs w:val="45"/>
        </w:rPr>
        <w:fldChar w:fldCharType="end"/>
      </w:r>
      <w:r w:rsidRPr="00C17931">
        <w:rPr>
          <w:rFonts w:ascii="Roboto" w:eastAsia="Times New Roman" w:hAnsi="Roboto" w:cs="Times New Roman"/>
          <w:color w:val="555555"/>
          <w:spacing w:val="2"/>
          <w:sz w:val="45"/>
          <w:szCs w:val="45"/>
        </w:rPr>
        <w:t> </w:t>
      </w:r>
      <w:r w:rsidRPr="00C17931">
        <w:rPr>
          <w:rFonts w:eastAsia="Times New Roman" w:cstheme="minorHAnsi"/>
          <w:color w:val="555555"/>
          <w:spacing w:val="2"/>
        </w:rPr>
        <w:t>Do Not Include</w:t>
      </w:r>
    </w:p>
    <w:p w14:paraId="3042906F" w14:textId="270E9D0F" w:rsidR="002276EB" w:rsidRPr="00E974C3" w:rsidRDefault="00C17931" w:rsidP="00E974C3">
      <w:pPr>
        <w:spacing w:after="150"/>
        <w:rPr>
          <w:rFonts w:eastAsia="Times New Roman" w:cstheme="minorHAnsi"/>
          <w:color w:val="555555"/>
        </w:rPr>
      </w:pPr>
      <w:r w:rsidRPr="00C17931">
        <w:rPr>
          <w:rFonts w:eastAsia="Times New Roman" w:cstheme="minorHAnsi"/>
          <w:color w:val="555555"/>
        </w:rPr>
        <w:t>Candy; toothpaste; gum; used or damaged items; scary or war-related items such as toy guns, knives, or military figures; chocolate or food; seeds; fruit rolls or other fruit snacks; drink mixes (powdered or liquid); liquids or lotions; medications or vitamins; breakable items such as snow globes or glass containers; aerosol cans.</w:t>
      </w:r>
    </w:p>
    <w:sectPr w:rsidR="002276EB" w:rsidRPr="00E974C3" w:rsidSect="00E974C3">
      <w:pgSz w:w="12240" w:h="15840"/>
      <w:pgMar w:top="333" w:right="720" w:bottom="37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219B0"/>
    <w:multiLevelType w:val="multilevel"/>
    <w:tmpl w:val="3018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72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EB"/>
    <w:rsid w:val="00173E94"/>
    <w:rsid w:val="002276EB"/>
    <w:rsid w:val="002E4B70"/>
    <w:rsid w:val="00510FA3"/>
    <w:rsid w:val="00926A90"/>
    <w:rsid w:val="00B907F9"/>
    <w:rsid w:val="00C17931"/>
    <w:rsid w:val="00C91B5D"/>
    <w:rsid w:val="00E974C3"/>
    <w:rsid w:val="00E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E484D"/>
  <w15:chartTrackingRefBased/>
  <w15:docId w15:val="{C94853FF-A079-F643-82EB-681A34D7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793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79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79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5254">
      <w:bodyDiv w:val="1"/>
      <w:marLeft w:val="0"/>
      <w:marRight w:val="0"/>
      <w:marTop w:val="0"/>
      <w:marBottom w:val="0"/>
      <w:divBdr>
        <w:top w:val="none" w:sz="0" w:space="0" w:color="auto"/>
        <w:left w:val="none" w:sz="0" w:space="0" w:color="auto"/>
        <w:bottom w:val="none" w:sz="0" w:space="0" w:color="auto"/>
        <w:right w:val="none" w:sz="0" w:space="0" w:color="auto"/>
      </w:divBdr>
    </w:div>
    <w:div w:id="322592445">
      <w:bodyDiv w:val="1"/>
      <w:marLeft w:val="0"/>
      <w:marRight w:val="0"/>
      <w:marTop w:val="0"/>
      <w:marBottom w:val="0"/>
      <w:divBdr>
        <w:top w:val="none" w:sz="0" w:space="0" w:color="auto"/>
        <w:left w:val="none" w:sz="0" w:space="0" w:color="auto"/>
        <w:bottom w:val="none" w:sz="0" w:space="0" w:color="auto"/>
        <w:right w:val="none" w:sz="0" w:space="0" w:color="auto"/>
      </w:divBdr>
    </w:div>
    <w:div w:id="331642470">
      <w:bodyDiv w:val="1"/>
      <w:marLeft w:val="0"/>
      <w:marRight w:val="0"/>
      <w:marTop w:val="0"/>
      <w:marBottom w:val="0"/>
      <w:divBdr>
        <w:top w:val="none" w:sz="0" w:space="0" w:color="auto"/>
        <w:left w:val="none" w:sz="0" w:space="0" w:color="auto"/>
        <w:bottom w:val="none" w:sz="0" w:space="0" w:color="auto"/>
        <w:right w:val="none" w:sz="0" w:space="0" w:color="auto"/>
      </w:divBdr>
    </w:div>
    <w:div w:id="965744595">
      <w:bodyDiv w:val="1"/>
      <w:marLeft w:val="0"/>
      <w:marRight w:val="0"/>
      <w:marTop w:val="0"/>
      <w:marBottom w:val="0"/>
      <w:divBdr>
        <w:top w:val="none" w:sz="0" w:space="0" w:color="auto"/>
        <w:left w:val="none" w:sz="0" w:space="0" w:color="auto"/>
        <w:bottom w:val="none" w:sz="0" w:space="0" w:color="auto"/>
        <w:right w:val="none" w:sz="0" w:space="0" w:color="auto"/>
      </w:divBdr>
    </w:div>
    <w:div w:id="1179394814">
      <w:bodyDiv w:val="1"/>
      <w:marLeft w:val="0"/>
      <w:marRight w:val="0"/>
      <w:marTop w:val="0"/>
      <w:marBottom w:val="0"/>
      <w:divBdr>
        <w:top w:val="none" w:sz="0" w:space="0" w:color="auto"/>
        <w:left w:val="none" w:sz="0" w:space="0" w:color="auto"/>
        <w:bottom w:val="none" w:sz="0" w:space="0" w:color="auto"/>
        <w:right w:val="none" w:sz="0" w:space="0" w:color="auto"/>
      </w:divBdr>
    </w:div>
    <w:div w:id="12828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Plummer</dc:creator>
  <cp:keywords/>
  <dc:description/>
  <cp:lastModifiedBy>Carla Plummer</cp:lastModifiedBy>
  <cp:revision>1</cp:revision>
  <dcterms:created xsi:type="dcterms:W3CDTF">2022-08-24T17:03:00Z</dcterms:created>
  <dcterms:modified xsi:type="dcterms:W3CDTF">2022-08-24T17:56:00Z</dcterms:modified>
</cp:coreProperties>
</file>